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 peremartoni és berhidai egyesült református egyházközség lelkipásztorának díjlevele.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[1750 k.]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Tiszteletes peremartoni és berhidai unita</w:t>
      </w:r>
      <w:r>
        <w:rPr>
          <w:rStyle w:val="Lbjegyzethorgony"/>
          <w:rStyle w:val="Lbjegyzethorgony"/>
          <w:rFonts w:cs="Times New Roman" w:ascii="Times New Roman" w:hAnsi="Times New Roman"/>
          <w:sz w:val="24"/>
          <w:szCs w:val="24"/>
        </w:rPr>
        <w:footnoteReference w:id="2"/>
      </w:r>
      <w:r>
        <w:rPr>
          <w:rFonts w:cs="Times New Roman" w:ascii="Times New Roman" w:hAnsi="Times New Roman"/>
          <w:sz w:val="24"/>
          <w:szCs w:val="24"/>
        </w:rPr>
        <w:t xml:space="preserve"> H.</w:t>
      </w:r>
      <w:r>
        <w:rPr>
          <w:rStyle w:val="Lbjegyzethorgony"/>
          <w:rStyle w:val="Lbjegyzethorgony"/>
          <w:rFonts w:cs="Times New Roman" w:ascii="Times New Roman" w:hAnsi="Times New Roman"/>
          <w:sz w:val="24"/>
          <w:szCs w:val="24"/>
        </w:rPr>
        <w:footnoteReference w:id="3"/>
      </w:r>
      <w:r>
        <w:rPr>
          <w:rFonts w:cs="Times New Roman" w:ascii="Times New Roman" w:hAnsi="Times New Roman"/>
          <w:sz w:val="24"/>
          <w:szCs w:val="24"/>
        </w:rPr>
        <w:t xml:space="preserve"> eklésiának</w:t>
      </w:r>
      <w:r>
        <w:rPr>
          <w:rStyle w:val="Lbjegyzethorgony"/>
          <w:rStyle w:val="Lbjegyzethorgony"/>
          <w:rFonts w:cs="Times New Roman" w:ascii="Times New Roman" w:hAnsi="Times New Roman"/>
          <w:sz w:val="24"/>
          <w:szCs w:val="24"/>
        </w:rPr>
        <w:footnoteReference w:id="4"/>
      </w:r>
      <w:r>
        <w:rPr>
          <w:rFonts w:cs="Times New Roman" w:ascii="Times New Roman" w:hAnsi="Times New Roman"/>
          <w:sz w:val="24"/>
          <w:szCs w:val="24"/>
        </w:rPr>
        <w:t xml:space="preserve"> lelkipásztorának rend szerint való fizetése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Esztendeig való készpénzbéli fizetése ő kk.</w:t>
      </w:r>
      <w:r>
        <w:rPr>
          <w:rStyle w:val="Lbjegyzethorgony"/>
          <w:rStyle w:val="Lbjegyzethorgony"/>
          <w:rFonts w:cs="Times New Roman" w:ascii="Times New Roman" w:hAnsi="Times New Roman"/>
          <w:sz w:val="24"/>
          <w:szCs w:val="24"/>
        </w:rPr>
        <w:footnoteReference w:id="5"/>
      </w:r>
      <w:r>
        <w:rPr>
          <w:rFonts w:cs="Times New Roman" w:ascii="Times New Roman" w:hAnsi="Times New Roman"/>
          <w:sz w:val="24"/>
          <w:szCs w:val="24"/>
        </w:rPr>
        <w:t xml:space="preserve"> negyvenöt forint.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Búzabéli </w:t>
        <w:tab/>
        <w:t>fizetése ő kk. nyolcvan pozsonyi, melybül kelletik kitenni mind nemes peremartoni (peremartonyi) uraimék által háromszor megszántott földben való magnak, mind berhidai uraimék részérül tizenhat pozsonyira valónak, azon elvetett magrúl való termést mind a két helységbül uniált H. ekklésia megaratja, bé is hordja, és a parochialis házhoz</w:t>
      </w:r>
      <w:r>
        <w:rPr>
          <w:rStyle w:val="Lbjegyzethorgony"/>
          <w:rStyle w:val="Lbjegyzethorgony"/>
          <w:rFonts w:cs="Times New Roman" w:ascii="Times New Roman" w:hAnsi="Times New Roman"/>
          <w:sz w:val="24"/>
          <w:szCs w:val="24"/>
        </w:rPr>
        <w:footnoteReference w:id="6"/>
      </w:r>
      <w:r>
        <w:rPr>
          <w:rFonts w:cs="Times New Roman" w:ascii="Times New Roman" w:hAnsi="Times New Roman"/>
          <w:sz w:val="24"/>
          <w:szCs w:val="24"/>
        </w:rPr>
        <w:t xml:space="preserve"> tartozandó kertben öszve is rakja.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Széna</w:t>
        <w:tab/>
        <w:tab/>
        <w:t>hat boglyára való, melynek négyét N.</w:t>
      </w:r>
      <w:r>
        <w:rPr>
          <w:rStyle w:val="Lbjegyzethorgony"/>
          <w:rStyle w:val="Lbjegyzethorgony"/>
          <w:rFonts w:cs="Times New Roman" w:ascii="Times New Roman" w:hAnsi="Times New Roman"/>
          <w:sz w:val="24"/>
          <w:szCs w:val="24"/>
        </w:rPr>
        <w:footnoteReference w:id="7"/>
      </w:r>
      <w:r>
        <w:rPr>
          <w:rFonts w:cs="Times New Roman" w:ascii="Times New Roman" w:hAnsi="Times New Roman"/>
          <w:sz w:val="24"/>
          <w:szCs w:val="24"/>
        </w:rPr>
        <w:t xml:space="preserve"> peremartoni uraimék, kettőt ismét berhidai urk.</w:t>
      </w:r>
      <w:r>
        <w:rPr>
          <w:rStyle w:val="Lbjegyzethorgony"/>
          <w:rStyle w:val="Lbjegyzethorgony"/>
          <w:rFonts w:cs="Times New Roman" w:ascii="Times New Roman" w:hAnsi="Times New Roman"/>
          <w:sz w:val="24"/>
          <w:szCs w:val="24"/>
        </w:rPr>
        <w:footnoteReference w:id="8"/>
      </w:r>
      <w:r>
        <w:rPr>
          <w:rFonts w:cs="Times New Roman" w:ascii="Times New Roman" w:hAnsi="Times New Roman"/>
          <w:sz w:val="24"/>
          <w:szCs w:val="24"/>
        </w:rPr>
        <w:t xml:space="preserve"> fizetik, bé hordják és kazalban is rakják.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Hús</w:t>
        <w:tab/>
        <w:tab/>
        <w:t>egy mázsa faggyú két forint ára, só egy mázsa, fa elegendő, ezen kívül halotti prédikációtul declerált</w:t>
      </w:r>
      <w:r>
        <w:rPr>
          <w:rStyle w:val="Lbjegyzethorgony"/>
          <w:rStyle w:val="Lbjegyzethorgony"/>
          <w:rFonts w:cs="Times New Roman" w:ascii="Times New Roman" w:hAnsi="Times New Roman"/>
          <w:sz w:val="24"/>
          <w:szCs w:val="24"/>
        </w:rPr>
        <w:footnoteReference w:id="9"/>
      </w:r>
      <w:r>
        <w:rPr>
          <w:rFonts w:cs="Times New Roman" w:ascii="Times New Roman" w:hAnsi="Times New Roman"/>
          <w:sz w:val="24"/>
          <w:szCs w:val="24"/>
        </w:rPr>
        <w:t xml:space="preserve"> fizetés, keresztelő, esküttető és egyházkelő.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parochiális háznál jó, alkalmas kert, úgy a víz mellett is két veteményes kert, melynek egyike Peremartonban, másika Berhidán vagyon.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Nemes peremartoni helység öreg bírája: Molnár János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Esküdtek: </w:t>
        <w:tab/>
        <w:t>Nemes Uzdi János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Molnár István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Ferencz István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Sebestyén György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Balogh István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 xml:space="preserve">Weszprémi János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 xml:space="preserve">Csonka János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Ács György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Szabó Ferenc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Coram me nble.</w:t>
      </w:r>
      <w:r>
        <w:rPr>
          <w:rStyle w:val="Lbjegyzethorgony"/>
          <w:rStyle w:val="Lbjegyzethorgony"/>
          <w:rFonts w:cs="Times New Roman" w:ascii="Times New Roman" w:hAnsi="Times New Roman"/>
          <w:sz w:val="24"/>
          <w:szCs w:val="24"/>
        </w:rPr>
        <w:footnoteReference w:id="10"/>
      </w:r>
      <w:r>
        <w:rPr>
          <w:rFonts w:cs="Times New Roman" w:ascii="Times New Roman" w:hAnsi="Times New Roman"/>
          <w:sz w:val="24"/>
          <w:szCs w:val="24"/>
        </w:rPr>
        <w:t xml:space="preserve"> Petro Wirágh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et nobis</w:t>
      </w:r>
      <w:r>
        <w:rPr>
          <w:rStyle w:val="Lbjegyzethorgony"/>
          <w:rStyle w:val="Lbjegyzethorgony"/>
          <w:rFonts w:cs="Times New Roman" w:ascii="Times New Roman" w:hAnsi="Times New Roman"/>
          <w:sz w:val="24"/>
          <w:szCs w:val="24"/>
        </w:rPr>
        <w:footnoteReference w:id="11"/>
      </w:r>
      <w:r>
        <w:rPr>
          <w:rFonts w:cs="Times New Roman" w:ascii="Times New Roman" w:hAnsi="Times New Roman"/>
          <w:sz w:val="24"/>
          <w:szCs w:val="24"/>
        </w:rPr>
        <w:tab/>
        <w:t>Stephano Lőrincz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Michaele Tóth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Martino Molnár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Georgio Weszprémi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et judice inferiore</w:t>
      </w:r>
      <w:r>
        <w:rPr>
          <w:rStyle w:val="Lbjegyzethorgony"/>
          <w:rStyle w:val="Lbjegyzethorgony"/>
          <w:rFonts w:cs="Times New Roman" w:ascii="Times New Roman" w:hAnsi="Times New Roman"/>
          <w:sz w:val="24"/>
          <w:szCs w:val="24"/>
        </w:rPr>
        <w:footnoteReference w:id="12"/>
      </w:r>
      <w:r>
        <w:rPr>
          <w:rFonts w:cs="Times New Roman" w:ascii="Times New Roman" w:hAnsi="Times New Roman"/>
          <w:sz w:val="24"/>
          <w:szCs w:val="24"/>
        </w:rPr>
        <w:t xml:space="preserve"> Samuele Wáczy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MNL VeML XV.2 (A Veszprémi Bakonyi Múzeum történeti iratgyűjteménye): No. 1456/a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Lbjegyzet"/>
        <w:rPr/>
      </w:pPr>
      <w:r>
        <w:rPr/>
        <w:footnoteRef/>
        <w:tab/>
        <w:t>egyesült</w:t>
      </w:r>
    </w:p>
  </w:footnote>
  <w:footnote w:id="3">
    <w:p>
      <w:pPr>
        <w:pStyle w:val="Lbjegyzet"/>
        <w:rPr/>
      </w:pPr>
      <w:r>
        <w:rPr/>
        <w:footnoteRef/>
        <w:tab/>
        <w:t>H.: helvét, azaz református</w:t>
      </w:r>
    </w:p>
  </w:footnote>
  <w:footnote w:id="4">
    <w:p>
      <w:pPr>
        <w:pStyle w:val="Lbjegyzet"/>
        <w:rPr/>
      </w:pPr>
      <w:r>
        <w:rPr/>
        <w:footnoteRef/>
        <w:tab/>
        <w:t>egyházközség</w:t>
      </w:r>
    </w:p>
  </w:footnote>
  <w:footnote w:id="5">
    <w:p>
      <w:pPr>
        <w:pStyle w:val="Lbjegyzet"/>
        <w:rPr/>
      </w:pPr>
      <w:r>
        <w:rPr/>
        <w:footnoteRef/>
        <w:tab/>
        <w:t>kk.: kegyelmének</w:t>
      </w:r>
    </w:p>
  </w:footnote>
  <w:footnote w:id="6">
    <w:p>
      <w:pPr>
        <w:pStyle w:val="Lbjegyzet"/>
        <w:rPr/>
      </w:pPr>
      <w:r>
        <w:rPr/>
        <w:footnoteRef/>
        <w:tab/>
        <w:t>parókia, lelkészlak</w:t>
      </w:r>
    </w:p>
  </w:footnote>
  <w:footnote w:id="7">
    <w:p>
      <w:pPr>
        <w:pStyle w:val="Lbjegyzet"/>
        <w:rPr/>
      </w:pPr>
      <w:r>
        <w:rPr/>
        <w:footnoteRef/>
        <w:tab/>
        <w:t>N.: nemes</w:t>
      </w:r>
    </w:p>
  </w:footnote>
  <w:footnote w:id="8">
    <w:p>
      <w:pPr>
        <w:pStyle w:val="Lbjegyzet"/>
        <w:rPr/>
      </w:pPr>
      <w:r>
        <w:rPr>
          <w:rFonts w:cs="Times New Roman" w:ascii="Times New Roman" w:hAnsi="Times New Roman"/>
          <w:sz w:val="20"/>
          <w:szCs w:val="20"/>
        </w:rPr>
        <w:footnoteRef/>
        <w:tab/>
        <w:t>Urk.: uraimék</w:t>
      </w:r>
    </w:p>
  </w:footnote>
  <w:footnote w:id="9">
    <w:p>
      <w:pPr>
        <w:pStyle w:val="Lbjegyzet"/>
        <w:rPr/>
      </w:pPr>
      <w:r>
        <w:rPr/>
        <w:footnoteRef/>
        <w:tab/>
        <w:t>rendelt</w:t>
      </w:r>
    </w:p>
  </w:footnote>
  <w:footnote w:id="10">
    <w:p>
      <w:pPr>
        <w:pStyle w:val="Lbjegyzet"/>
        <w:rPr/>
      </w:pPr>
      <w:r>
        <w:rPr/>
        <w:footnoteRef/>
        <w:tab/>
        <w:t>Coram me nobile: előttem, nemes P. W.</w:t>
      </w:r>
    </w:p>
  </w:footnote>
  <w:footnote w:id="11">
    <w:p>
      <w:pPr>
        <w:pStyle w:val="Lbjegyzet"/>
        <w:rPr/>
      </w:pPr>
      <w:r>
        <w:rPr/>
        <w:footnoteRef/>
        <w:tab/>
        <w:t>és előttünk</w:t>
      </w:r>
    </w:p>
  </w:footnote>
  <w:footnote w:id="12">
    <w:p>
      <w:pPr>
        <w:pStyle w:val="Lbjegyzet"/>
        <w:rPr/>
      </w:pPr>
      <w:r>
        <w:rPr/>
        <w:footnoteRef/>
        <w:tab/>
        <w:t>albíró előtt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hu-HU" w:eastAsia="zh-CN" w:bidi="hi-IN"/>
    </w:rPr>
  </w:style>
  <w:style w:type="character" w:styleId="Lbjegyzethorgony">
    <w:name w:val="Lábjegyzet-horgony"/>
    <w:rPr>
      <w:vertAlign w:val="superscript"/>
    </w:rPr>
  </w:style>
  <w:style w:type="character" w:styleId="Lbjegyzetkarakterek">
    <w:name w:val="Lábjegyzet-karakterek"/>
    <w:qFormat/>
    <w:rPr/>
  </w:style>
  <w:style w:type="character" w:styleId="Vgjegyzethorgony">
    <w:name w:val="Végjegyzet-horgony"/>
    <w:rPr>
      <w:vertAlign w:val="superscript"/>
    </w:rPr>
  </w:style>
  <w:style w:type="character" w:styleId="Vgjegyzetkarakterek">
    <w:name w:val="Végjegyzet-karakterek"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bjegyzet">
    <w:name w:val="Lábjegyze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LibreOffice/5.0.4.2$Windows_X86_64 LibreOffice_project/2b9802c1994aa0b7dc6079e128979269cf95bc78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hu-HU</dc:language>
  <dcterms:modified xsi:type="dcterms:W3CDTF">2017-07-04T18:09:07Z</dcterms:modified>
  <cp:revision>1</cp:revision>
</cp:coreProperties>
</file>